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</w:rPr>
        <w:t>PATVIRTINTA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</w:rPr>
        <w:t xml:space="preserve">Švenčionėlių progimnazijos   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</w:rPr>
        <w:t>direktoriaus 2012 m. rugsėjo 17 d.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</w:rPr>
        <w:t>įsakymu Nr. O – 375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  <w:jc w:val="center"/>
      </w:pPr>
      <w:bookmarkStart w:id="0" w:name="__DdeLink__1_439109801"/>
      <w:r>
        <w:rPr>
          <w:rFonts w:ascii="Times New Roman" w:cs="Times New Roman" w:hAnsi="Times New Roman"/>
          <w:b/>
          <w:sz w:val="24"/>
        </w:rPr>
        <w:t>ŠVENČIONĖLIŲ PROGIMNAZIJOS VEIKLOS TOBULINIMO VEIKSMŲ PLANAS</w:t>
      </w:r>
    </w:p>
    <w:p>
      <w:pPr>
        <w:pStyle w:val="style0"/>
        <w:spacing w:after="0" w:before="0"/>
        <w:jc w:val="center"/>
      </w:pPr>
      <w:bookmarkStart w:id="1" w:name="__DdeLink__1_439109801"/>
      <w:bookmarkEnd w:id="1"/>
      <w:r>
        <w:rPr>
          <w:rFonts w:ascii="Times New Roman" w:cs="Times New Roman" w:hAnsi="Times New Roman"/>
          <w:b/>
          <w:sz w:val="24"/>
        </w:rPr>
        <w:t>2013-2015 METAMS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                                                                            </w:t>
      </w:r>
    </w:p>
    <w:p>
      <w:pPr>
        <w:pStyle w:val="style0"/>
        <w:spacing w:after="0" w:before="0"/>
        <w:ind w:hanging="0" w:left="3360" w:right="0"/>
      </w:pPr>
      <w:r>
        <w:rPr>
          <w:rFonts w:ascii="Times New Roman" w:cs="Times New Roman" w:eastAsia="Times New Roman" w:hAnsi="Times New Roman"/>
          <w:b/>
          <w:sz w:val="24"/>
        </w:rPr>
        <w:t xml:space="preserve">               </w:t>
      </w:r>
      <w:r>
        <w:rPr>
          <w:rFonts w:ascii="Times New Roman" w:cs="Times New Roman" w:hAnsi="Times New Roman"/>
          <w:b/>
          <w:sz w:val="24"/>
        </w:rPr>
        <w:t>I. ĮVADAS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eastAsia="Times New Roman" w:hAnsi="Times New Roman"/>
          <w:sz w:val="24"/>
        </w:rPr>
        <w:t xml:space="preserve">                  </w:t>
      </w:r>
      <w:r>
        <w:rPr>
          <w:rFonts w:ascii="Times New Roman" w:cs="Times New Roman" w:hAnsi="Times New Roman"/>
          <w:sz w:val="24"/>
        </w:rPr>
        <w:t>Progimnazijoje 2012 m. gegužės 14-18 dienomis atliktas mokyklos veiklos kokybės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</w:rPr>
        <w:t>išorės vertinimas. Jo metu stebėta ir vertinta mokyklos veikla, nurodytos 10 stipriųjų ir 5 tobulintinos sritys. Audito ataskaita pristatyta mokyklos bendruomenei, aptarta progimnazijos mokytojų taryboje, dalykų mokytojų metodinėse grupėse.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eastAsia="Times New Roman" w:hAnsi="Times New Roman"/>
          <w:sz w:val="24"/>
        </w:rPr>
        <w:t xml:space="preserve">                 </w:t>
      </w:r>
      <w:r>
        <w:rPr>
          <w:rFonts w:ascii="Times New Roman" w:cs="Times New Roman" w:hAnsi="Times New Roman"/>
          <w:sz w:val="24"/>
        </w:rPr>
        <w:t>Rekomendacijos bus panaudotos rengiant progimnazijos metinius veiklos planus bei 2013-2015 metų strateginį planą.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sz w:val="24"/>
        </w:rPr>
        <w:t xml:space="preserve">                 </w:t>
      </w:r>
      <w:r>
        <w:rPr>
          <w:rFonts w:ascii="Times New Roman" w:cs="Times New Roman" w:hAnsi="Times New Roman"/>
          <w:sz w:val="24"/>
        </w:rPr>
        <w:t>Progimnazijos stipriosios sritys:</w:t>
      </w:r>
    </w:p>
    <w:p>
      <w:pPr>
        <w:pStyle w:val="style0"/>
        <w:spacing w:after="0" w:before="0"/>
        <w:ind w:hanging="0" w:left="360" w:right="0"/>
      </w:pPr>
      <w:r>
        <w:rPr>
          <w:rFonts w:ascii="Times New Roman" w:cs="Times New Roman" w:eastAsia="Times New Roman" w:hAnsi="Times New Roman"/>
          <w:sz w:val="24"/>
        </w:rPr>
        <w:t xml:space="preserve">           </w:t>
      </w:r>
      <w:r>
        <w:rPr>
          <w:rFonts w:ascii="Times New Roman" w:cs="Times New Roman" w:hAnsi="Times New Roman"/>
          <w:sz w:val="24"/>
        </w:rPr>
        <w:t>1.   Ugdymo įstaiga puoselėja bendruomenę telkiančias tradicijas (1.1.2.).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Išskirtinė mokyklos muziejaus veikla (1.1.2.).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Mikroklimatas pamokoje palankus mokymuisi (1.1.6., 2.2.3.).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Mokyklos vaidmuo vietos bendruomenėje ir bendradarbiavimas su socialiniais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  <w:t>partneriais (1.4.1., 1.4.2.).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Neformalusis vaikų švietimas (2.1.5.).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Mokymo ir gyvenimo ryšys (2.3.2.).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Mokinių mokymosi motyvacija pamokose (2.4.1.).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Dalyvavimas ir pasiekimai olimpiadose, konkursuose, varžybose (3.2.2.).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Veiksminga socialinė pagalba (4.2.3.).</w:t>
      </w:r>
    </w:p>
    <w:p>
      <w:pPr>
        <w:pStyle w:val="style0"/>
        <w:numPr>
          <w:ilvl w:val="0"/>
          <w:numId w:val="1"/>
        </w:numPr>
        <w:spacing w:after="0" w:before="0"/>
      </w:pPr>
      <w:r>
        <w:rPr>
          <w:rFonts w:ascii="Times New Roman" w:cs="Times New Roman" w:hAnsi="Times New Roman"/>
          <w:sz w:val="24"/>
        </w:rPr>
        <w:t>Personalo komplektavimas (5.4.1.).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sz w:val="24"/>
        </w:rPr>
        <w:t xml:space="preserve">                 </w:t>
      </w:r>
      <w:r>
        <w:rPr>
          <w:rFonts w:ascii="Times New Roman" w:cs="Times New Roman" w:hAnsi="Times New Roman"/>
          <w:sz w:val="24"/>
        </w:rPr>
        <w:t>Tobulintini progimnazijos veiklos  aspektai:</w:t>
      </w:r>
    </w:p>
    <w:p>
      <w:pPr>
        <w:pStyle w:val="style0"/>
        <w:spacing w:after="0" w:before="0"/>
        <w:ind w:hanging="0" w:left="420" w:right="0"/>
      </w:pPr>
      <w:r>
        <w:rPr>
          <w:rFonts w:ascii="Times New Roman" w:cs="Times New Roman" w:eastAsia="Times New Roman" w:hAnsi="Times New Roman"/>
          <w:sz w:val="24"/>
        </w:rPr>
        <w:t xml:space="preserve">          </w:t>
      </w:r>
      <w:r>
        <w:rPr>
          <w:rFonts w:ascii="Times New Roman" w:cs="Times New Roman" w:hAnsi="Times New Roman"/>
          <w:sz w:val="24"/>
        </w:rPr>
        <w:t>1.   Dalykų ryšiai ir integracija ugdant bendrąsias kompetencijas (2.1.3.).</w:t>
      </w:r>
    </w:p>
    <w:p>
      <w:pPr>
        <w:pStyle w:val="style0"/>
        <w:numPr>
          <w:ilvl w:val="0"/>
          <w:numId w:val="2"/>
        </w:numPr>
        <w:spacing w:after="0" w:before="0"/>
      </w:pPr>
      <w:r>
        <w:rPr>
          <w:rFonts w:ascii="Times New Roman" w:cs="Times New Roman" w:hAnsi="Times New Roman"/>
          <w:sz w:val="24"/>
        </w:rPr>
        <w:t>Mokytojo veiklos planavimas atsižvelgiant į mokinių gebėjimus ir siekiamą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  <w:t>rezultatą (2.2.1.).</w:t>
      </w:r>
    </w:p>
    <w:p>
      <w:pPr>
        <w:pStyle w:val="style0"/>
        <w:numPr>
          <w:ilvl w:val="0"/>
          <w:numId w:val="2"/>
        </w:numPr>
        <w:spacing w:after="0" w:before="0"/>
      </w:pPr>
      <w:r>
        <w:rPr>
          <w:rFonts w:ascii="Times New Roman" w:cs="Times New Roman" w:hAnsi="Times New Roman"/>
          <w:sz w:val="24"/>
        </w:rPr>
        <w:t>Skirtingų gebėjimų mokinių ugdymo organizavimas diferencijuojant ir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  <w:t>individualizuojant mokymąsi pamokoje (2.5.).</w:t>
      </w:r>
    </w:p>
    <w:p>
      <w:pPr>
        <w:pStyle w:val="style0"/>
        <w:numPr>
          <w:ilvl w:val="0"/>
          <w:numId w:val="2"/>
        </w:numPr>
        <w:spacing w:after="0" w:before="0"/>
      </w:pPr>
      <w:r>
        <w:rPr>
          <w:rFonts w:ascii="Times New Roman" w:cs="Times New Roman" w:hAnsi="Times New Roman"/>
          <w:sz w:val="24"/>
        </w:rPr>
        <w:t>Mokinių išmokimo stebėjimas ir pasiekimų bei pažangos vertinimas pamokoje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  <w:t>(2.3.4., 2.6.2.).</w:t>
      </w:r>
    </w:p>
    <w:p>
      <w:pPr>
        <w:pStyle w:val="style0"/>
        <w:numPr>
          <w:ilvl w:val="0"/>
          <w:numId w:val="2"/>
        </w:numPr>
        <w:spacing w:after="0" w:before="0"/>
      </w:pPr>
      <w:r>
        <w:rPr>
          <w:rFonts w:ascii="Times New Roman" w:cs="Times New Roman" w:hAnsi="Times New Roman"/>
          <w:sz w:val="24"/>
        </w:rPr>
        <w:t>Duomenimis grįstas mokyklos tobulinimas (5.2.2.).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</w:rPr>
        <w:t xml:space="preserve">II. VEIKSMŲ PLANAS         </w:t>
      </w:r>
    </w:p>
    <w:p>
      <w:pPr>
        <w:pStyle w:val="style0"/>
      </w:pPr>
      <w:r>
        <w:rPr>
          <w:rFonts w:ascii="Times New Roman" w:cs="Times New Roman" w:hAnsi="Times New Roman"/>
          <w:sz w:val="24"/>
        </w:rPr>
      </w:r>
    </w:p>
    <w:tbl>
      <w:tblPr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</w:tblBorders>
      </w:tblPr>
      <w:tblGrid>
        <w:gridCol w:w="556"/>
        <w:gridCol w:w="2407"/>
        <w:gridCol w:w="2321"/>
        <w:gridCol w:w="2042"/>
        <w:gridCol w:w="1567"/>
        <w:gridCol w:w="1733"/>
      </w:tblGrid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Eil. Nr.</w:t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center"/>
            </w:pPr>
            <w:r>
              <w:rPr>
                <w:rFonts w:ascii="Times New Roman" w:cs="Times New Roman" w:hAnsi="Times New Roman"/>
                <w:sz w:val="24"/>
              </w:rPr>
              <w:t>Tobulintina sritis pagal išorės vertinimo išvadas</w:t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    </w:t>
            </w:r>
            <w:r>
              <w:rPr>
                <w:rFonts w:ascii="Times New Roman" w:cs="Times New Roman" w:hAnsi="Times New Roman"/>
                <w:sz w:val="24"/>
              </w:rPr>
              <w:t>Veikla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Siekiamas rezultatas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Terminai</w:t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ascii="Times New Roman" w:cs="Times New Roman" w:hAnsi="Times New Roman"/>
                <w:b/>
                <w:sz w:val="24"/>
              </w:rPr>
              <w:t>Atsakingi</w:t>
            </w:r>
          </w:p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ascii="Times New Roman" w:cs="Times New Roman" w:hAnsi="Times New Roman"/>
                <w:b/>
                <w:sz w:val="24"/>
              </w:rPr>
              <w:t>vykdytojai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1.</w:t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Dalykų ryšiai ir integracija ugdant bendrąsias kompetencijas (2.1.3.).</w:t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1. Dalykų programų derinimas laiko, turinio, apimties atžvilgiu, bendrų susitarimų dėl bendrųjų kompetencijų ugdymo derinimas.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Mokytojų ilgalaikiuose planuose numatytos temos bus suderintos laiko it turinio požiūriu. Integravimas vyks tikslingai,  bus numatytos priemonės veiklos pamatavimui.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Kasmet rugsėjo mėn.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Mokytojai, administracija</w:t>
            </w:r>
          </w:p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2. Integruotų pamokų, projektų, renginių vedimas.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Mokytojų bendradarbiavimas kartu planuojant turinį, tariantis dėl bendrų sąvokų, metodų, užduočių mažins mokiniams mokymosi krūvius, padės integraliau suvokti supančią aplinką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2013-2015 m.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Mokytojai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3. Progimnazijos ugdymo planų teikiamų galimybių panaudojimas tarpdalykinių ryšių, dalykų ir bendrųjų gebėjimų integracijai.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Ugdymo planuose numatyta mokomųjų dalykų ir programų integracija su bendrosiomis kompetencijomis leis pakankamai aktualizuoti ugdymo turinį ir  skatins siekti geresnių pasiekimų rezultatų.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2013-2015 m.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Darbo grupė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4. Bendradarbiavimo tarp mokinių, mokytojų ir tėvų formų sukūrimas planuojant ir įgyvendinant mokomųjų dalykų, neformaliojo švietimo integraciją ugdant bendrąsias kompetencijas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Mokiniai ir tėvai jausis saugiau, jie dalyvaus ugdymo proceso planavime bei įsivertinime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2013 m.</w:t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Mokytojų metodinės grupės, pagalbos mokiniui specialistai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2.</w:t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Mokytojo veiklos planavimas atsižvelgiant į mokinių gebėjimus ir siekiamą rezultatą (2.2.1.).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1. Mokytojų kvalifikacijos tobulinimas veiklos planavimo klausimais organizuojant seminarus-praktikumus.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Mokytojų veikla tobulinant gebėjimus formuluoti realius pamatuojamus, su mokinių pasiekimais ir kontekstu susietus pamokos uždavinius ir įgytų patirčių taikymas praktikoje pagerins mokinių pasiekimų rezultatus.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2012-2015 m</w:t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Administracija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2. Ilgalaikių teminių planų struktūros  bei reikalavimų pamokos planui suvienodinimas.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Nuosekliai planuodami veiklą mokytojai gebės pamatuoti pasiektus rezultatus per mokinių daromą pažangą.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2013 m. sausio mėn.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Mokyklos metodinė taryba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3.Gerosios patirties sklaida atsižvelgiant į mokyklos veiklos įsivertinimo bei pedagoginės priežiūros išvadas.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Mokytojai planuodami pamoką pritaikys jos turinį konkrečiai klasei ar grupei atsižvelgiant į mokinių pasiekimų lygį, praėjusių pamokų vertinimo (įsivertinimo) rezultatus.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2013-2015 m.</w:t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Administracija, veiklos kokybės įsivertinimo grupė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3.</w:t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Skirtingų gebėjimų mokinių ugdymo organizavimas diferencijuojant ir individualizuojant mokymąsi pamokoje (2.5.).</w:t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1.Bendradarbiavimas su Švenčionių Pedagogine psichologine tarnyba (PPT).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Savalaikė ir efektyvi specialioji pagalba mokiniams, mokytojams ir tėvams.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2012-2015 m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Direktorius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2. Ugdymo turinio, veiklos, tempo pamokoje diferencijavimas ir individualizavimas specialiųjų ugdymosi poreikių turintiems mokiniams, atsižvelgiant į Švenčionių PPT, Vaiko gerovės komisijos rekomendacijas.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Daugiau galimybių specialiųjų poreikių turintiems mokiniams ugdyti savo individualius gebėjimus.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2012-2015 m.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Mokytojai, pagalbos mokiniui specialistai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3. Veiklos pamokoje diferencijuojant ir individualizuojant ugdymo turinį skirtingų gebėjimų mokiniams organizavimas, stebėjimas ir aptarimas bei gerų patirčių sklaida.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Pritaikius ugdymo turinį mokinių gebėjimams pagerės mokinių pasiekimų rezultatai.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2012-2015 m.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Mokytojai, administracija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4. Ilgalaikių planų atnaujinimas numatant priemones veiklos diferencijavimui ir individualizavimui.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Suplanuota veikla padės įgyvendinti ir įsivertinti sąlygas skirtingų gebėjimų mokinių ugdymo(si) organizavime.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Kasmet rugpjūčio- rugsėjo mėn.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Metodinės mokytojų grupės, direktoriaus pavaduotojai ugdymui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5. Ugdymo planų galimybių pritaikymas mokinių individualiems poreikiams tenkinti.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Parinkta veikla padės ugdytis kiekvienam mokiniui pagal gebėjimus ir poreikius.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Kasmet gegužės- rugpjūčio mėn.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Progimnazijos ugdymo plano rengimo grupė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6. Veiklos stebėsenos vykdymas. Grįžtamoji pamokų stebėsena.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Nuolat stebima ir vertinama veikla  leis kryptingai siekti numatytų rezultatų.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2013-2015 m.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Administracija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7. Kryptingos gabiųjų mokinių ugdymo sistemos sukūrimas.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Padidės gabiųjų mokinių  mokymosi motyvacija, pagerės ugdymosi pasiekimai.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2013-2014 m.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Darbo grupė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8. Integruotų aktyviųjų pamokų organizavimas.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Bus skatinamas mokinių aktyvumas, gerės mokymosi motyvacija.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 xml:space="preserve">2013-2015 m. 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Mokytojai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9. Tyrimų mokinių gebėjimų lygiams nustatyti vykdymą.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Gauti rezultatai padės mokytojams pritaikyti ugdymo turinį tinkamai ir veiksmingai.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2013 m.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Psichologė, pagalbos mokiniui specialistai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10. Mokytojų kvalifikacijos tobulinimas ugdymo turinio, veiklos diferencijavimo, individualizavimo, jos pritaikymo mokinių gebėjimams klausimais.</w:t>
            </w:r>
          </w:p>
        </w:tc>
        <w:tc>
          <w:tcPr>
            <w:tcW w:type="dxa" w:w="204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Mokytojų veikla pritaikant ugdymo turinį mokinių gebėjimams bus veiksminga ir įtakos geresnius pasiekimų rezultatus.</w:t>
            </w:r>
          </w:p>
        </w:tc>
        <w:tc>
          <w:tcPr>
            <w:tcW w:type="dxa" w:w="1567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2013-2015 m.</w:t>
            </w:r>
          </w:p>
        </w:tc>
        <w:tc>
          <w:tcPr>
            <w:tcW w:type="dxa" w:w="1733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Administracija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4.</w:t>
            </w:r>
          </w:p>
        </w:tc>
        <w:tc>
          <w:tcPr>
            <w:tcW w:type="dxa" w:w="240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Mokinių išmokimo stebėjimas bei pažangos vertinimas pamokoje (2.3.4., 2.6.2.).</w:t>
            </w:r>
          </w:p>
        </w:tc>
        <w:tc>
          <w:tcPr>
            <w:tcW w:type="dxa" w:w="232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1. Mokytojų kvalifikacijos tobulinimas  mokinių pažangos ir pasiekimų klausimais.</w:t>
            </w:r>
          </w:p>
        </w:tc>
        <w:tc>
          <w:tcPr>
            <w:tcW w:type="dxa" w:w="20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Mokinių pažangos ir pasiekimų vertinimas bus pagrįstas ir aiškus.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56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2013 m.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Administracija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 xml:space="preserve">2. Progimnazijos mokinių pasiekimų ir pažangos vertinimo tvarkos kiekvieniems mokslo metams parengimas.  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Parengta ir patvirtinta mokinių pažangos ir pasiekimų vertinimo tvarka padės sistemingai ir išsamiai aptarti rezultatus ir panaudoti juos tolesniam ugdymo procesui.</w:t>
            </w:r>
          </w:p>
        </w:tc>
        <w:tc>
          <w:tcPr>
            <w:tcW w:type="dxa" w:w="156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Kasmet rugsėjo-spalio mėn.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Darbo grupė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3. Idėjų mugė (gerosios patirties sklaida) ,,Pamatuojame pažangą“.</w:t>
            </w:r>
          </w:p>
        </w:tc>
        <w:tc>
          <w:tcPr>
            <w:tcW w:type="dxa" w:w="20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Mokytojų darbo patirtis bus naudinga kolegoms siekiant gerinti mokinių pasiekimų ir pažangos vertinimą.</w:t>
            </w:r>
          </w:p>
        </w:tc>
        <w:tc>
          <w:tcPr>
            <w:tcW w:type="dxa" w:w="156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2015 m.</w:t>
            </w:r>
          </w:p>
        </w:tc>
        <w:tc>
          <w:tcPr>
            <w:tcW w:type="dxa" w:w="173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Mokytojų metodinė taryba</w:t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5.</w:t>
            </w:r>
          </w:p>
        </w:tc>
        <w:tc>
          <w:tcPr>
            <w:tcW w:type="dxa" w:w="240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Duomenimis grįstas mokyklos tobulinimas (5.2.2.).</w:t>
            </w:r>
          </w:p>
        </w:tc>
        <w:tc>
          <w:tcPr>
            <w:tcW w:type="dxa" w:w="232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1. Progimnazijos veiklos kokybės įsivertinimo grupės veiklos planavimas.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Planuojant įsivertinimo procesą progimnazijoje bus paruoštas stebėsenos rodiklių sąrašas.</w:t>
            </w:r>
          </w:p>
        </w:tc>
        <w:tc>
          <w:tcPr>
            <w:tcW w:type="dxa" w:w="156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Kasmet rugsėjo mėn.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Veiklos kokybės įsivertinimo grupė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2. Dokumentų, reglamentuojančių mokyklos veiklos kokybės įsivertinimo procesus mokykloje analizavimas.</w:t>
            </w:r>
          </w:p>
        </w:tc>
        <w:tc>
          <w:tcPr>
            <w:tcW w:type="dxa" w:w="20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  <w:t>Veiklos kokybės įsivertinimo grupės nariai tobulins darbo įsivertinimo grupėje įgūdžius.</w:t>
            </w:r>
          </w:p>
        </w:tc>
        <w:tc>
          <w:tcPr>
            <w:tcW w:type="dxa" w:w="156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 xml:space="preserve">2012-2015 m. 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Veiklos kokybės grupė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</w:rPr>
              <w:t xml:space="preserve">3. </w:t>
            </w:r>
            <w:r>
              <w:rPr>
                <w:rFonts w:ascii="Times New Roman" w:cs="Times New Roman" w:hAnsi="Times New Roman"/>
                <w:sz w:val="24"/>
              </w:rPr>
              <w:t>Kvalifikacijos kėlimo seminaro mokyklos veiklos kokybės įsivertinimo veiksmingumo klausimais organizavimas.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0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Stiprės atsakomybė už savo ir progimnazijos veiklos rezultatus, ugdysis gebėjimai mokyklos veiklos kokybės įsivertinimo rezultatus naudoti veiksmingai.</w:t>
            </w:r>
          </w:p>
        </w:tc>
        <w:tc>
          <w:tcPr>
            <w:tcW w:type="dxa" w:w="156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</w:rPr>
              <w:t>2012 m.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</w:rPr>
              <w:t>Direktorius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40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232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 xml:space="preserve">4. Progimnazijos veiklos kokybės įsivertinimo proceso medžiagos sisteminimo ir pristatymo bendruomenei formų numatymas. 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Cs/>
                <w:sz w:val="24"/>
              </w:rPr>
            </w:r>
          </w:p>
        </w:tc>
        <w:tc>
          <w:tcPr>
            <w:tcW w:type="dxa" w:w="20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Informacija apie progimnazijos veiklos kokybės įsivertinimo rezultatus, paremta duomenimis, dėl kurių yra susitarta bendruomenėje ir gauti rezultatai sudarys daugiau galimybių tobulinti progimnazijos veiklą.</w:t>
            </w:r>
          </w:p>
        </w:tc>
        <w:tc>
          <w:tcPr>
            <w:tcW w:type="dxa" w:w="156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</w:rPr>
              <w:t>Kasmet spalio-lapkričio mėn.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  <w:tc>
          <w:tcPr>
            <w:tcW w:type="dxa" w:w="173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Veiklos kokybės įsivertinimo grupė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56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  <w:tc>
          <w:tcPr>
            <w:tcW w:type="dxa" w:w="2407"/>
            <w:tcBorders>
              <w:top w:color="000000" w:space="0" w:sz="6" w:val="single"/>
              <w:left w:color="000000" w:space="0" w:sz="6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</w:r>
          </w:p>
        </w:tc>
        <w:tc>
          <w:tcPr>
            <w:tcW w:type="dxa" w:w="2321"/>
            <w:tcBorders>
              <w:top w:color="000000" w:space="0" w:sz="6" w:val="single"/>
              <w:left w:color="000000" w:space="0" w:sz="6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5. Progimnazijos veiklos kokybės įsivertinimo proceso veiksmingumo analizavimas.</w:t>
            </w:r>
          </w:p>
        </w:tc>
        <w:tc>
          <w:tcPr>
            <w:tcW w:type="dxa" w:w="2042"/>
            <w:tcBorders>
              <w:top w:color="000000" w:space="0" w:sz="6" w:val="single"/>
              <w:left w:color="000000" w:space="0" w:sz="6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Bus susitarta kas yra vieno ar kito veiklos aspekto konkreti kokybė ir numatyta kokiais duomenimis yra grindžiami vertinimai ir priimti sprendimai.</w:t>
            </w:r>
          </w:p>
        </w:tc>
        <w:tc>
          <w:tcPr>
            <w:tcW w:type="dxa" w:w="1567"/>
            <w:tcBorders>
              <w:top w:color="000000" w:space="0" w:sz="6" w:val="single"/>
              <w:left w:color="000000" w:space="0" w:sz="6" w:val="single"/>
              <w:bottom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2012-2015 m.</w:t>
            </w:r>
          </w:p>
        </w:tc>
        <w:tc>
          <w:tcPr>
            <w:tcW w:type="dxa" w:w="173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Metodinė taryba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cs="Times New Roman" w:hAnsi="Times New Roman"/>
                <w:b/>
                <w:sz w:val="24"/>
              </w:rPr>
              <w:t>Veiklos kokybės įsivertinimo grupė</w:t>
            </w:r>
          </w:p>
        </w:tc>
      </w:tr>
    </w:tbl>
    <w:p>
      <w:pPr>
        <w:pStyle w:val="style0"/>
        <w:jc w:val="center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</w:rPr>
        <w:t>_____________________________________</w:t>
      </w:r>
    </w:p>
    <w:p>
      <w:pPr>
        <w:pStyle w:val="style0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  <w:t>APTARTA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  <w:t>Švenčionėlių progimnazijos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  <w:t>taryboje 2012-09-14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</w:rPr>
        <w:t>(protokolo Nr. MK-8)</w:t>
      </w:r>
    </w:p>
    <w:sectPr>
      <w:type w:val="nextPage"/>
      <w:pgSz w:h="16838" w:w="11906"/>
      <w:pgMar w:bottom="1134" w:footer="0" w:gutter="0" w:header="0" w:left="1260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tabs>
          <w:tab w:pos="1380" w:val="num"/>
        </w:tabs>
        <w:ind w:hanging="360" w:left="13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1380" w:val="num"/>
        </w:tabs>
        <w:ind w:hanging="360" w:left="13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umatytasis"/>
    <w:next w:val="style0"/>
    <w:pPr>
      <w:widowControl/>
      <w:tabs>
        <w:tab w:leader="none" w:pos="1296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zh-CN" w:val="lt-LT"/>
    </w:rPr>
  </w:style>
  <w:style w:styleId="style15" w:type="character">
    <w:name w:val="WW8Num5z0"/>
    <w:next w:val="style15"/>
    <w:rPr>
      <w:rFonts w:ascii="Symbol" w:cs="Symbol" w:hAnsi="Symbol"/>
    </w:rPr>
  </w:style>
  <w:style w:styleId="style16" w:type="character">
    <w:name w:val="WW8Num6z0"/>
    <w:next w:val="style16"/>
    <w:rPr>
      <w:rFonts w:ascii="Symbol" w:cs="Symbol" w:hAnsi="Symbol"/>
    </w:rPr>
  </w:style>
  <w:style w:styleId="style17" w:type="character">
    <w:name w:val="WW8Num7z0"/>
    <w:next w:val="style17"/>
    <w:rPr>
      <w:rFonts w:ascii="Symbol" w:cs="Symbol" w:hAnsi="Symbol"/>
    </w:rPr>
  </w:style>
  <w:style w:styleId="style18" w:type="character">
    <w:name w:val="WW8Num8z0"/>
    <w:next w:val="style18"/>
    <w:rPr>
      <w:rFonts w:ascii="Symbol" w:cs="Symbol" w:hAnsi="Symbol"/>
    </w:rPr>
  </w:style>
  <w:style w:styleId="style19" w:type="character">
    <w:name w:val="WW8Num10z0"/>
    <w:next w:val="style19"/>
    <w:rPr>
      <w:rFonts w:ascii="Symbol" w:cs="Symbol" w:hAnsi="Symbol"/>
    </w:rPr>
  </w:style>
  <w:style w:styleId="style20" w:type="character">
    <w:name w:val="WW8Num19z0"/>
    <w:next w:val="style20"/>
    <w:rPr>
      <w:rFonts w:ascii="Times New Roman" w:cs="Times New Roman" w:eastAsia="Times New Roman" w:hAnsi="Times New Roman"/>
    </w:rPr>
  </w:style>
  <w:style w:styleId="style21" w:type="character">
    <w:name w:val="Numatytasis pastraipos šriftas"/>
    <w:next w:val="style21"/>
    <w:rPr/>
  </w:style>
  <w:style w:styleId="style22" w:type="paragraph">
    <w:name w:val="Antraštė"/>
    <w:basedOn w:val="style0"/>
    <w:next w:val="style23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3" w:type="paragraph">
    <w:name w:val="Pagrindinis tekstas"/>
    <w:basedOn w:val="style0"/>
    <w:next w:val="style23"/>
    <w:pPr>
      <w:spacing w:after="120" w:before="0"/>
    </w:pPr>
    <w:rPr/>
  </w:style>
  <w:style w:styleId="style24" w:type="paragraph">
    <w:name w:val="Sąrašas"/>
    <w:basedOn w:val="style23"/>
    <w:next w:val="style24"/>
    <w:pPr/>
    <w:rPr>
      <w:rFonts w:cs="Lohit Hindi"/>
    </w:rPr>
  </w:style>
  <w:style w:styleId="style25" w:type="paragraph">
    <w:name w:val="Pavadinimas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Rodyklė"/>
    <w:basedOn w:val="style0"/>
    <w:next w:val="style26"/>
    <w:pPr>
      <w:suppressLineNumbers/>
    </w:pPr>
    <w:rPr>
      <w:rFonts w:cs="Lohit Hindi"/>
    </w:rPr>
  </w:style>
  <w:style w:styleId="style27" w:type="paragraph">
    <w:name w:val="No Spacing"/>
    <w:next w:val="style27"/>
    <w:pPr>
      <w:widowControl/>
      <w:tabs>
        <w:tab w:leader="none" w:pos="1296" w:val="left"/>
      </w:tabs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zh-CN" w:val="lt-LT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Debesėlio tekstas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Lentelės turinys"/>
    <w:basedOn w:val="style0"/>
    <w:next w:val="style30"/>
    <w:pPr>
      <w:suppressLineNumbers/>
    </w:pPr>
    <w:rPr/>
  </w:style>
  <w:style w:styleId="style31" w:type="paragraph">
    <w:name w:val="Lentelės antraštė"/>
    <w:basedOn w:val="style30"/>
    <w:next w:val="style3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2012-09-19T13:05:00.00Z</dcterms:created>
  <dc:creator>Maestro</dc:creator>
  <cp:lastModifiedBy>Sandra</cp:lastModifiedBy>
  <cp:lastPrinted>2012-09-19T13:05:00.00Z</cp:lastPrinted>
  <dcterms:modified xsi:type="dcterms:W3CDTF">2012-09-20T15:24:00.00Z</dcterms:modified>
  <cp:revision>6</cp:revision>
  <dc:title>GAUTA</dc:title>
</cp:coreProperties>
</file>